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20 149 vom 22. April 2021</w:t>
      </w:r>
    </w:p>
    <w:p>
      <w:r>
        <w:t>VS Kantonsgericht, 2021-04-22, FR</w:t>
      </w:r>
    </w:p>
    <w:p>
      <w:r>
        <w:rPr>
          <w:b/>
        </w:rPr>
        <w:t xml:space="preserve">Quelle: </w:t>
      </w:r>
      <w:r>
        <w:t>https://mcp.opencaselaw.ch/entscheid/vs_gerichte_A1 20 149</w:t>
      </w:r>
    </w:p>
    <w:p>
      <w:r>
        <w:t>FR: VS_GERICHTE A1 20 149 du 22 avril 2021</w:t>
      </w:r>
    </w:p>
    <w:p>
      <w:r>
        <w:t>IT: VS_GERICHTE A1 20 149 del 22 aprile 2021</w:t>
      </w:r>
    </w:p>
    <w:p>
      <w:pPr>
        <w:pStyle w:val="Heading2"/>
      </w:pPr>
      <w:r>
        <w:t>Regeste</w:t>
      </w:r>
    </w:p>
    <w:p>
      <w:r>
        <w:t>A1 20 149 ARRÊT DU 22 AVRIL 2021 Tribunal cantonal du Valais Cour de droit public Composition : Christophe Joris, président ; Thomas Brunner, juge ; Frédéric Fellay, juge suppléant, en la cause X _________ et Y _________, recourants, représentés par Maître M _________ contre CONSEIL D'ÉTAT DU VALAIS, autorité attaquée, COMMUNE DE A _________, autre autorité, et Z _________ SA, tiers concerné, agissant par son département « xxx» (installation de communication mobile) recours de droit administratif contre la décision du 6 juillet 2020</w:t>
      </w:r>
    </w:p>
    <w:p>
      <w:pPr>
        <w:pStyle w:val="Heading2"/>
      </w:pPr>
      <w:r>
        <w:t>Erwägungen</w:t>
      </w:r>
    </w:p>
    <w:p>
      <w:r>
        <w:rPr>
          <w:b/>
        </w:rPr>
        <w:t>E. 2</w:t>
      </w:r>
    </w:p>
    <w:p>
      <w:r>
        <w:t>Supposé recevable, le recours devrait être rejeté pour les raison suivantes.</w:t>
      </w:r>
    </w:p>
    <w:p>
      <w:r>
        <w:rPr>
          <w:b/>
        </w:rPr>
        <w:t>E. 3</w:t>
      </w:r>
    </w:p>
    <w:p>
      <w:r>
        <w:t>Les recourants remettent tout d’abord en cause la pertinence des valeurs limites définies par l’ORNI. Ils estiment que le projet aurait été autorisé sans tenir compte des risques inhérents à ce genre d’installation et en violation du principe de précaution.</w:t>
      </w:r>
    </w:p>
    <w:p>
      <w:r>
        <w:t>- 5 -</w:t>
      </w:r>
    </w:p>
    <w:p>
      <w:r>
        <w:rPr>
          <w:b/>
        </w:rPr>
        <w:t>E. 3.1</w:t>
      </w:r>
    </w:p>
    <w:p>
      <w:r>
        <w:t>Selon la jurisprudence, encore récemment confirmée (arrêt du Tribunal fédéral 1C_518/2018 du 14 avril 2020 consid. 5.1 et les références), le principe de prévention est réputé observé en cas de respect de la valeur limite de l'installation dans les lieux à utilisation sensible où cette valeur s'applique. Le Tribunal fédéral a relevé qu’il appartient à l’autorité fédérale spécialisée, soit l’Office fédéral de l’environnement (OFEV), de suivre l'évolution de la recherche et des connaissances en la matière. Il a jugé qu’en l'état de celles-ci, il n'existe pas d'indices en vertu desquels les valeurs limites devraient être modifiées, et a précisé que seuls de solides éléments démontrant de nouvelles connaissances fondées scientifiquement permettraient, le cas échéant, de remettre en cause lesdites valeurs (ibidem).</w:t>
      </w:r>
    </w:p>
    <w:p>
      <w:r>
        <w:rPr>
          <w:b/>
        </w:rPr>
        <w:t>E. 3.2</w:t>
      </w:r>
    </w:p>
    <w:p>
      <w:r>
        <w:t>Dans le cas particulier, les recourants, qui se réfèrent à une évaluation du Parlement européen remontant à 2008, n’avancent pas d’éléments de nature à renverser la présomption du respect du principe de prévention par les valeurs limites actuelles. Il n’y dès lors pas lieu de remettre en question l’ORNI et de refuser un projet respectant les exigences actuellement déterminantes, comme le voudraient en fin de compte les recourants.</w:t>
      </w:r>
    </w:p>
    <w:p>
      <w:r>
        <w:rPr>
          <w:b/>
        </w:rPr>
        <w:t>E. 4</w:t>
      </w:r>
    </w:p>
    <w:p>
      <w:r>
        <w:t>X _________ et Y _________ prétendent ensuite que des installations préexistantes n’auraient, à tort, pas été prises en considération. En outre, ils signalent que le projet en cause prévoit plusieurs antennes et laissent finalement entendre que les valeurs limites n’auraient pas été calculées en tenant compte des prescriptions relatives aux groupes d’antennes.</w:t>
      </w:r>
    </w:p>
    <w:p>
      <w:r>
        <w:rPr>
          <w:b/>
        </w:rPr>
        <w:t>E. 4.1</w:t>
      </w:r>
    </w:p>
    <w:p>
      <w:r>
        <w:t>Ainsi que l’a relevé à juste titre le Conseil d’Etat, le chiffre 62 de l’annexe I de l’ORNI dispose que le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Ce périmètre se calcule selon la formule indiquée à l’alinéa 4 du chiffre 62.</w:t>
      </w:r>
    </w:p>
    <w:p>
      <w:r>
        <w:rPr>
          <w:b/>
        </w:rPr>
        <w:t>E. 4.2</w:t>
      </w:r>
    </w:p>
    <w:p>
      <w:r>
        <w:t>En l’espèce, le rayon du périmètre pour la prise en compte du groupe d'antennes a été calculé à 198 m 45 en application de la formule précitée (cf. la fiche de données spécifique au site, dossier du CE p. 95). Les recourants ne contestent pas la validité de ce calcul ni ne prétendent que, contrairement à ce qu’a retenu le Conseil d’Etat et à ce qu’a attesté la société intimée sur la fiche complémentaire 5 (dossier du CE p. 65), une</w:t>
      </w:r>
    </w:p>
    <w:p>
      <w:r>
        <w:t>- 6 - autre station émettrice se trouverait dans le rayon déterminant. En tout état de cause, l’on remarque que tel n’est effectivement pas le cas selon les données figurant sur le cadastre des antennes de l'Office fédéral de la communication (OFCOM) librement accessible en ligne (https://www.bakom.admin.ch/bakom/fr/page-daccueil/frequences- et-antennes/emplacement-des-stations-emettrices.html ; dernière consultation le 19 avril 2021), auquel les recourants font allusion en page 11 de leur mémoire. Le grief s’avère ainsi mal fondé.</w:t>
      </w:r>
    </w:p>
    <w:p>
      <w:r>
        <w:rPr>
          <w:b/>
        </w:rPr>
        <w:t>E. 5</w:t>
      </w:r>
    </w:p>
    <w:p>
      <w:r>
        <w:t>Le dossier d’autorisation de construire a été soumis au SEN, qui a émis un préavis positif en concluant au fait que l’exploitation des antennes projetées respectait les exi- gences de l’ORNI. Les recourants n’entreprennent aucunement de contester le bien- fondé de cette conclusion à caractère scientifique de l’organe spécialisé, de laquelle le Tribunal ne saurait en conséquence s’écarter (cf. ATF 139 II 185 consid. 9.3).</w:t>
      </w:r>
    </w:p>
    <w:p>
      <w:r>
        <w:rPr>
          <w:b/>
        </w:rPr>
        <w:t>E. 6</w:t>
      </w:r>
    </w:p>
    <w:p>
      <w:r>
        <w:t>C’est en vain que les recourants reprochent à la société intimée de ne pas s’être prononcée sur le « besoin effectif ou non d’installer une nouvelle antenne sur la parcelle no xx1 ». Ainsi que l’a rappelé à bon droit le Conseil d’Etat, il n'est pas nécessaire de prouver le besoin de couverture lorsque l'installation est, comme en l’espèce, projetée en zone à bâtir (arrêt du Tribunal fédéral 1C_518/2018 précité consid. 5.1.1).</w:t>
      </w:r>
    </w:p>
    <w:p>
      <w:r>
        <w:rPr>
          <w:b/>
        </w:rPr>
        <w:t>E. 7</w:t>
      </w:r>
    </w:p>
    <w:p>
      <w:r>
        <w:t>Les critiques tirées de la dangerosité prétendue de la technologie 5G et de l’absence de garantie donnée sur le fait que le projet serve ultérieurement au relais de telles ondes sont inopérantes. En effet, le Conseil d’Etat a constaté, sans être contredit par les recourants, qu’il n’était en l’occurrence pas question d’une installation de ce genre selon la teneur, déterminante, du dossier d’autorisation de construire. La société intimée l’a d’ailleurs confirmé dans sa réponse céans au recours (dossier du TC, p. 32) et les recourants n’avancent aucun élément laissant présager du contraire.</w:t>
      </w:r>
    </w:p>
    <w:p>
      <w:r>
        <w:rPr>
          <w:b/>
        </w:rPr>
        <w:t>E. 8</w:t>
      </w:r>
    </w:p>
    <w:p>
      <w:r>
        <w:t>Les recourants demandent finalement que les clauses d’esthétique soient « appli- quées », notamment celle générale prévue par l’article 70 RCC. Ils font à cet égard valoir que l’antenne constitue un danger pour la santé des exploitants et consommateurs du restaurant et qu’elle représente aussi un « élément disgracieux par rapport aux constructions environnantes ».</w:t>
      </w:r>
    </w:p>
    <w:p>
      <w:r>
        <w:rPr>
          <w:b/>
        </w:rPr>
        <w:t>E. 8.1</w:t>
      </w:r>
    </w:p>
    <w:p>
      <w:r>
        <w:t>Cette dernière assertion est cependant dépourvue de toute motivation. Les recou- rants s’abstiennent d’inscrire l’installation litigieuse dans le milieu environnant, dont ils ne soufflent mot. Ils n’expliquent ainsi aucunement en quoi l’antenne serait susceptible de poser problème et ne prétendent pas non plus que le secteur concerné présenterait des qualités paysagères ou urbanistiques particulières. Le grief est donc irrecevable.</w:t>
      </w:r>
    </w:p>
    <w:p>
      <w:r>
        <w:t>- 7 -</w:t>
      </w:r>
    </w:p>
    <w:p>
      <w:r>
        <w:rPr>
          <w:b/>
        </w:rPr>
        <w:t>E. 8.2</w:t>
      </w:r>
    </w:p>
    <w:p>
      <w:r>
        <w:t>Cela étant, le Tribunal rappellera à toutes fins utiles que les normes communales et cantonales d’esthétique doivent tenir compte de l'intérêt public à disposer d'un réseau de téléphonie mobile de bonne qualité et d'une concurrence efficace entre les fournisseurs de téléphonie mobile. L’application de ces normes ne peut dès lors rendre impossible ou compliquer à l'excès la réalisation de l'obligation de couverture qui incombe à l'opérateur en vertu du droit fédéral (art. 1 de la loi sur les télécommunications du 30 avril 1997 [LTC; RS 784.10] ; ATF 141 II 245 consid. 7.1 et 7.8). Si une antenne de téléphonie mobile présente un aspect visuel déplaisant, encore faut-il, pour exclure son implantation, qu'elle péjore de manière incontestable les qualités esthétiques d'un endroit donné (arrêt du Tribunal fédéral 1C_465/2010 du 31 mai 2011 consid. 3.3). En l’espèce, il ressort du dossier que l’installation litigieuse est prévue sur une parcelle sise en zone artisanale, excentrée par rapport au village de D _________, en bordure de la route cantonale (cf. plans figurant en p. 41 et 47 du dossier du CE). Dans ces circonstances, la clause générale d'esthétique de l’article 70 RCC ne saurait faire obstacle au projet. 9.1 Le recours est irrecevable (art. 80 al. 1 let. e et 60 al. 1 LPJA). 9.2 L’émolument de justice, arrêté à 1500 fr. (débours inclus) au vu notamment des principes de la couverture des frais et de l’équivalence des prestations, sera supporté par les recourants, solidairement entre eux (art. 88 al. 2 et 89 al. 1 LPJA ; art. 3 al. 3, 11,</w:t>
      </w:r>
    </w:p>
    <w:p>
      <w:r>
        <w:rPr>
          <w:b/>
        </w:rPr>
        <w:t>E. 13</w:t>
      </w:r>
    </w:p>
    <w:p>
      <w:r>
        <w:t>al. 1 et 25 de la loi du 11 février 2009 sur le tarif des frais et dépens devant les autorités judiciaires ou administratives [LTar ; RS/VS 173.8]). 9.3 Les recourants n’ont pas droit à des dépens (art. 91 al. 1 a contrario LPJA). Z _________, qui obtient gain de cause, a réclamé des dépens. N’étant pas représentée par un avocat externe, mais agissant par le biais de son propre service juridique, seule une indemnité de partie couvrant ses débours peut lui être allouée (art. 4 al. 1 et 2 LTar ; cf. p. ex. arrêt du Tribunal fédéral 1C_627/2019 du 6 octobre 2020 consid. 7). Cette indemnité, à verser par les recourants, sera arrêtée à 100 fr. (art. 91 al. 1 LPJA), la société intimée n’ayant pas prétendu ni a fortiori démontré avoir subi « une perte de temps ou de gain » (art. 4 al. 2 LTar).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